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outlineLvl w:val="0"/>
        <w:rPr>
          <w:rFonts w:hint="eastAsia" w:ascii="方正小标宋简体" w:hAnsi="方正小标宋简体" w:eastAsia="方正小标宋简体" w:cs="方正小标宋简体"/>
          <w:b w:val="0"/>
          <w:bCs/>
          <w:kern w:val="2"/>
          <w:sz w:val="44"/>
          <w:szCs w:val="44"/>
          <w:lang w:val="zh-CN" w:eastAsia="zh-CN" w:bidi="ar-SA"/>
        </w:rPr>
      </w:pPr>
      <w:r>
        <w:rPr>
          <w:rFonts w:hint="eastAsia" w:ascii="方正小标宋简体" w:hAnsi="方正小标宋简体" w:eastAsia="方正小标宋简体" w:cs="方正小标宋简体"/>
          <w:b w:val="0"/>
          <w:bCs/>
          <w:sz w:val="44"/>
          <w:szCs w:val="44"/>
          <w:lang w:val="zh-CN" w:eastAsia="zh-CN"/>
        </w:rPr>
        <w:t>脱硫系统附属设施专项治理项目报价单</w:t>
      </w:r>
    </w:p>
    <w:tbl>
      <w:tblPr>
        <w:tblStyle w:val="6"/>
        <w:tblpPr w:leftFromText="180" w:rightFromText="180" w:vertAnchor="page" w:horzAnchor="page" w:tblpX="1159" w:tblpY="1679"/>
        <w:tblW w:w="9738" w:type="dxa"/>
        <w:tblInd w:w="-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465"/>
        <w:gridCol w:w="1466"/>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trPr>
        <w:tc>
          <w:tcPr>
            <w:tcW w:w="3588" w:type="dxa"/>
            <w:noWrap w:val="0"/>
            <w:vAlign w:val="center"/>
          </w:tcPr>
          <w:p>
            <w:pPr>
              <w:spacing w:line="480" w:lineRule="auto"/>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465" w:type="dxa"/>
            <w:noWrap w:val="0"/>
            <w:vAlign w:val="center"/>
          </w:tcPr>
          <w:p>
            <w:pPr>
              <w:pStyle w:val="4"/>
              <w:ind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bCs/>
                <w:kern w:val="2"/>
                <w:sz w:val="24"/>
                <w:szCs w:val="24"/>
                <w:lang w:eastAsia="zh-CN"/>
              </w:rPr>
              <w:t>金额（元）</w:t>
            </w:r>
          </w:p>
        </w:tc>
        <w:tc>
          <w:tcPr>
            <w:tcW w:w="1466" w:type="dxa"/>
            <w:noWrap w:val="0"/>
            <w:vAlign w:val="center"/>
          </w:tcPr>
          <w:p>
            <w:pPr>
              <w:pStyle w:val="4"/>
              <w:ind w:firstLine="0"/>
              <w:jc w:val="center"/>
              <w:rPr>
                <w:rFonts w:hint="eastAsia" w:ascii="仿宋_GB2312" w:hAnsi="仿宋_GB2312" w:eastAsia="仿宋_GB2312" w:cs="仿宋_GB2312"/>
                <w:bCs/>
                <w:kern w:val="2"/>
                <w:sz w:val="24"/>
                <w:szCs w:val="24"/>
                <w:lang w:eastAsia="zh-CN"/>
              </w:rPr>
            </w:pPr>
            <w:r>
              <w:rPr>
                <w:rFonts w:hint="eastAsia" w:ascii="仿宋_GB2312" w:hAnsi="仿宋_GB2312" w:eastAsia="仿宋_GB2312" w:cs="仿宋_GB2312"/>
                <w:bCs/>
                <w:kern w:val="2"/>
                <w:sz w:val="24"/>
                <w:szCs w:val="24"/>
                <w:lang w:eastAsia="zh-CN"/>
              </w:rPr>
              <w:t>税率</w:t>
            </w:r>
          </w:p>
        </w:tc>
        <w:tc>
          <w:tcPr>
            <w:tcW w:w="3219" w:type="dxa"/>
            <w:noWrap w:val="0"/>
            <w:vAlign w:val="center"/>
          </w:tcPr>
          <w:p>
            <w:pPr>
              <w:spacing w:line="240" w:lineRule="auto"/>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trPr>
        <w:tc>
          <w:tcPr>
            <w:tcW w:w="3588" w:type="dxa"/>
            <w:noWrap w:val="0"/>
            <w:vAlign w:val="center"/>
          </w:tcPr>
          <w:p>
            <w:pPr>
              <w:spacing w:line="360" w:lineRule="auto"/>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脱硫系统附属设施专项治理</w:t>
            </w:r>
            <w:r>
              <w:rPr>
                <w:rFonts w:hint="eastAsia" w:ascii="仿宋_GB2312" w:hAnsi="仿宋_GB2312" w:eastAsia="仿宋_GB2312" w:cs="仿宋_GB2312"/>
                <w:bCs/>
                <w:color w:val="auto"/>
                <w:sz w:val="24"/>
                <w:highlight w:val="none"/>
                <w:lang w:eastAsia="zh-CN"/>
              </w:rPr>
              <w:t>综合含税总报价</w:t>
            </w:r>
          </w:p>
        </w:tc>
        <w:tc>
          <w:tcPr>
            <w:tcW w:w="1465" w:type="dxa"/>
            <w:noWrap w:val="0"/>
            <w:vAlign w:val="center"/>
          </w:tcPr>
          <w:p>
            <w:pPr>
              <w:spacing w:line="240" w:lineRule="auto"/>
              <w:jc w:val="center"/>
              <w:rPr>
                <w:rFonts w:hint="eastAsia" w:ascii="仿宋_GB2312" w:hAnsi="仿宋_GB2312" w:eastAsia="仿宋_GB2312" w:cs="仿宋_GB2312"/>
                <w:b w:val="0"/>
                <w:bCs/>
                <w:sz w:val="24"/>
              </w:rPr>
            </w:pPr>
          </w:p>
        </w:tc>
        <w:tc>
          <w:tcPr>
            <w:tcW w:w="1466" w:type="dxa"/>
            <w:noWrap w:val="0"/>
            <w:vAlign w:val="center"/>
          </w:tcPr>
          <w:p>
            <w:pPr>
              <w:spacing w:line="240" w:lineRule="auto"/>
              <w:jc w:val="center"/>
              <w:rPr>
                <w:rFonts w:hint="eastAsia" w:ascii="仿宋_GB2312" w:hAnsi="仿宋_GB2312" w:eastAsia="仿宋_GB2312" w:cs="仿宋_GB2312"/>
                <w:b w:val="0"/>
                <w:bCs/>
                <w:sz w:val="24"/>
              </w:rPr>
            </w:pPr>
          </w:p>
        </w:tc>
        <w:tc>
          <w:tcPr>
            <w:tcW w:w="3219" w:type="dxa"/>
            <w:noWrap w:val="0"/>
            <w:vAlign w:val="top"/>
          </w:tcPr>
          <w:p>
            <w:pPr>
              <w:spacing w:line="240" w:lineRule="auto"/>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此项费用为完成</w:t>
            </w:r>
            <w:r>
              <w:rPr>
                <w:rFonts w:hint="eastAsia" w:ascii="仿宋_GB2312" w:hAnsi="仿宋_GB2312" w:eastAsia="仿宋_GB2312" w:cs="仿宋_GB2312"/>
                <w:bCs/>
                <w:color w:val="auto"/>
                <w:sz w:val="24"/>
                <w:highlight w:val="none"/>
              </w:rPr>
              <w:t>脱硫系统附属设施专项治理</w:t>
            </w:r>
            <w:r>
              <w:rPr>
                <w:rFonts w:hint="eastAsia" w:ascii="仿宋_GB2312" w:hAnsi="仿宋_GB2312" w:eastAsia="仿宋_GB2312" w:cs="仿宋_GB2312"/>
                <w:bCs/>
                <w:color w:val="auto"/>
                <w:sz w:val="24"/>
                <w:highlight w:val="none"/>
                <w:lang w:val="en-US" w:eastAsia="zh-CN"/>
              </w:rPr>
              <w:t>项目内容的全部费用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trPr>
        <w:tc>
          <w:tcPr>
            <w:tcW w:w="3588" w:type="dxa"/>
            <w:noWrap w:val="0"/>
            <w:vAlign w:val="center"/>
          </w:tcPr>
          <w:p>
            <w:pPr>
              <w:spacing w:line="600" w:lineRule="auto"/>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lang w:eastAsia="zh-CN"/>
              </w:rPr>
              <w:t>其中：安全文明施工费</w:t>
            </w:r>
          </w:p>
        </w:tc>
        <w:tc>
          <w:tcPr>
            <w:tcW w:w="1465" w:type="dxa"/>
            <w:noWrap w:val="0"/>
            <w:vAlign w:val="center"/>
          </w:tcPr>
          <w:p>
            <w:pPr>
              <w:spacing w:line="240" w:lineRule="auto"/>
              <w:jc w:val="center"/>
              <w:rPr>
                <w:rFonts w:hint="eastAsia" w:ascii="仿宋_GB2312" w:hAnsi="仿宋_GB2312" w:eastAsia="仿宋_GB2312" w:cs="仿宋_GB2312"/>
                <w:b w:val="0"/>
                <w:bCs/>
                <w:sz w:val="24"/>
              </w:rPr>
            </w:pPr>
          </w:p>
        </w:tc>
        <w:tc>
          <w:tcPr>
            <w:tcW w:w="1466" w:type="dxa"/>
            <w:noWrap w:val="0"/>
            <w:vAlign w:val="center"/>
          </w:tcPr>
          <w:p>
            <w:pPr>
              <w:spacing w:line="240" w:lineRule="auto"/>
              <w:jc w:val="center"/>
              <w:rPr>
                <w:rFonts w:hint="eastAsia" w:ascii="仿宋_GB2312" w:hAnsi="仿宋_GB2312" w:eastAsia="仿宋_GB2312" w:cs="仿宋_GB2312"/>
                <w:b w:val="0"/>
                <w:bCs/>
                <w:sz w:val="24"/>
              </w:rPr>
            </w:pPr>
          </w:p>
        </w:tc>
        <w:tc>
          <w:tcPr>
            <w:tcW w:w="3219" w:type="dxa"/>
            <w:noWrap w:val="0"/>
            <w:vAlign w:val="top"/>
          </w:tcPr>
          <w:p>
            <w:pPr>
              <w:spacing w:line="240" w:lineRule="auto"/>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
                <w:bCs w:val="0"/>
                <w:color w:val="FF0000"/>
                <w:sz w:val="24"/>
                <w:highlight w:val="none"/>
                <w:lang w:val="en-US" w:eastAsia="zh-CN"/>
              </w:rPr>
              <w:t>此项为必填项，该费用为固定价，金额为</w:t>
            </w:r>
            <w:r>
              <w:rPr>
                <w:rFonts w:hint="eastAsia" w:ascii="仿宋_GB2312" w:hAnsi="仿宋_GB2312" w:eastAsia="仿宋_GB2312" w:cs="仿宋_GB2312"/>
                <w:b/>
                <w:bCs w:val="0"/>
                <w:color w:val="FF0000"/>
                <w:sz w:val="24"/>
                <w:highlight w:val="none"/>
              </w:rPr>
              <w:t>脱硫系统附属设施专项治理</w:t>
            </w:r>
            <w:r>
              <w:rPr>
                <w:rFonts w:hint="eastAsia" w:ascii="仿宋_GB2312" w:hAnsi="仿宋_GB2312" w:eastAsia="仿宋_GB2312" w:cs="仿宋_GB2312"/>
                <w:b/>
                <w:bCs w:val="0"/>
                <w:color w:val="FF0000"/>
                <w:sz w:val="24"/>
                <w:highlight w:val="none"/>
                <w:lang w:val="en-US" w:eastAsia="zh-CN"/>
              </w:rPr>
              <w:t>合含税总报价的2.5%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6" w:hRule="atLeast"/>
        </w:trPr>
        <w:tc>
          <w:tcPr>
            <w:tcW w:w="3588" w:type="dxa"/>
            <w:tcBorders>
              <w:top w:val="single" w:color="auto" w:sz="4" w:space="0"/>
              <w:bottom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sz w:val="24"/>
                <w:lang w:eastAsia="zh-CN"/>
              </w:rPr>
              <w:t>综合含税总报价金额</w:t>
            </w:r>
            <w:r>
              <w:rPr>
                <w:rFonts w:hint="eastAsia" w:ascii="仿宋_GB2312" w:hAnsi="仿宋_GB2312" w:eastAsia="仿宋_GB2312" w:cs="仿宋_GB2312"/>
                <w:b w:val="0"/>
                <w:bCs w:val="0"/>
                <w:sz w:val="24"/>
                <w:u w:val="none"/>
                <w:lang w:eastAsia="zh-CN"/>
              </w:rPr>
              <w:t>大写：</w:t>
            </w:r>
          </w:p>
        </w:tc>
        <w:tc>
          <w:tcPr>
            <w:tcW w:w="6150" w:type="dxa"/>
            <w:gridSpan w:val="3"/>
            <w:tcBorders>
              <w:top w:val="single" w:color="auto" w:sz="4" w:space="0"/>
              <w:bottom w:val="single" w:color="auto" w:sz="4" w:space="0"/>
            </w:tcBorders>
            <w:noWrap w:val="0"/>
            <w:vAlign w:val="center"/>
          </w:tcPr>
          <w:p>
            <w:pPr>
              <w:spacing w:line="240" w:lineRule="auto"/>
              <w:jc w:val="both"/>
              <w:rPr>
                <w:rFonts w:hint="eastAsia" w:ascii="仿宋_GB2312" w:hAnsi="仿宋_GB2312" w:eastAsia="仿宋_GB2312" w:cs="仿宋_GB2312"/>
                <w:b w:val="0"/>
                <w:bCs w:val="0"/>
                <w:sz w:val="24"/>
                <w:u w:val="single"/>
                <w:lang w:eastAsia="zh-CN"/>
              </w:rPr>
            </w:pPr>
          </w:p>
        </w:tc>
      </w:tr>
    </w:tbl>
    <w:p>
      <w:pPr>
        <w:spacing w:line="360" w:lineRule="auto"/>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numPr>
          <w:ilvl w:val="-1"/>
          <w:numId w:val="0"/>
        </w:numPr>
        <w:spacing w:line="360" w:lineRule="auto"/>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b/>
          <w:bCs w:val="0"/>
          <w:color w:val="C00000"/>
          <w:sz w:val="24"/>
          <w:highlight w:val="none"/>
          <w:lang w:eastAsia="zh-CN"/>
        </w:rPr>
        <w:t>综合含税总报价中包含安全文明施工费</w:t>
      </w:r>
      <w:r>
        <w:rPr>
          <w:rFonts w:hint="eastAsia" w:ascii="仿宋_GB2312" w:hAnsi="仿宋_GB2312" w:eastAsia="仿宋_GB2312" w:cs="仿宋_GB2312"/>
          <w:b/>
          <w:bCs w:val="0"/>
          <w:color w:val="C00000"/>
          <w:sz w:val="24"/>
          <w:highlight w:val="none"/>
          <w:lang w:val="en-US" w:eastAsia="zh-CN"/>
        </w:rPr>
        <w:t>（</w:t>
      </w:r>
      <w:r>
        <w:rPr>
          <w:rFonts w:hint="eastAsia" w:ascii="仿宋_GB2312" w:hAnsi="仿宋_GB2312" w:eastAsia="仿宋_GB2312" w:cs="仿宋_GB2312"/>
          <w:b/>
          <w:bCs w:val="0"/>
          <w:color w:val="C00000"/>
          <w:sz w:val="24"/>
          <w:highlight w:val="none"/>
        </w:rPr>
        <w:t>该费用为固定价，为</w:t>
      </w:r>
      <w:r>
        <w:rPr>
          <w:rFonts w:hint="eastAsia" w:ascii="仿宋_GB2312" w:hAnsi="仿宋_GB2312" w:eastAsia="仿宋_GB2312" w:cs="仿宋_GB2312"/>
          <w:b/>
          <w:bCs w:val="0"/>
          <w:color w:val="C00000"/>
          <w:sz w:val="24"/>
          <w:highlight w:val="none"/>
          <w:lang w:eastAsia="zh-CN"/>
        </w:rPr>
        <w:t>综合</w:t>
      </w:r>
      <w:r>
        <w:rPr>
          <w:rFonts w:hint="eastAsia" w:ascii="仿宋_GB2312" w:hAnsi="仿宋_GB2312" w:eastAsia="仿宋_GB2312" w:cs="仿宋_GB2312"/>
          <w:b/>
          <w:bCs w:val="0"/>
          <w:color w:val="C00000"/>
          <w:sz w:val="24"/>
          <w:highlight w:val="none"/>
        </w:rPr>
        <w:t>含税</w:t>
      </w:r>
      <w:r>
        <w:rPr>
          <w:rFonts w:hint="eastAsia" w:ascii="仿宋_GB2312" w:hAnsi="仿宋_GB2312" w:eastAsia="仿宋_GB2312" w:cs="仿宋_GB2312"/>
          <w:b/>
          <w:bCs w:val="0"/>
          <w:color w:val="C00000"/>
          <w:sz w:val="24"/>
          <w:highlight w:val="none"/>
          <w:lang w:eastAsia="zh-CN"/>
        </w:rPr>
        <w:t>总</w:t>
      </w:r>
      <w:r>
        <w:rPr>
          <w:rFonts w:hint="eastAsia" w:ascii="仿宋_GB2312" w:hAnsi="仿宋_GB2312" w:eastAsia="仿宋_GB2312" w:cs="仿宋_GB2312"/>
          <w:b/>
          <w:bCs w:val="0"/>
          <w:color w:val="C00000"/>
          <w:sz w:val="24"/>
          <w:highlight w:val="none"/>
        </w:rPr>
        <w:t>报价的2</w:t>
      </w:r>
      <w:r>
        <w:rPr>
          <w:rFonts w:hint="eastAsia" w:ascii="仿宋_GB2312" w:hAnsi="仿宋_GB2312" w:eastAsia="仿宋_GB2312" w:cs="仿宋_GB2312"/>
          <w:b/>
          <w:bCs w:val="0"/>
          <w:color w:val="C00000"/>
          <w:sz w:val="24"/>
          <w:highlight w:val="none"/>
          <w:lang w:val="en-US" w:eastAsia="zh-CN"/>
        </w:rPr>
        <w:t>.5</w:t>
      </w:r>
      <w:r>
        <w:rPr>
          <w:rFonts w:hint="eastAsia" w:ascii="仿宋_GB2312" w:hAnsi="仿宋_GB2312" w:eastAsia="仿宋_GB2312" w:cs="仿宋_GB2312"/>
          <w:b/>
          <w:bCs w:val="0"/>
          <w:color w:val="C00000"/>
          <w:sz w:val="24"/>
          <w:highlight w:val="none"/>
        </w:rPr>
        <w:t>%</w:t>
      </w:r>
      <w:r>
        <w:rPr>
          <w:rFonts w:hint="eastAsia" w:ascii="仿宋_GB2312" w:hAnsi="仿宋_GB2312" w:eastAsia="仿宋_GB2312" w:cs="仿宋_GB2312"/>
          <w:b/>
          <w:bCs w:val="0"/>
          <w:color w:val="C00000"/>
          <w:sz w:val="24"/>
          <w:highlight w:val="none"/>
          <w:lang w:eastAsia="zh-CN"/>
        </w:rPr>
        <w:t>）</w:t>
      </w:r>
      <w:r>
        <w:rPr>
          <w:rFonts w:hint="eastAsia" w:ascii="仿宋_GB2312" w:hAnsi="仿宋_GB2312" w:eastAsia="仿宋_GB2312" w:cs="仿宋_GB2312"/>
          <w:b/>
          <w:bCs w:val="0"/>
          <w:color w:val="C00000"/>
          <w:sz w:val="24"/>
          <w:highlight w:val="none"/>
          <w:lang w:val="en-US" w:eastAsia="zh-CN"/>
        </w:rPr>
        <w:t>，</w:t>
      </w:r>
      <w:r>
        <w:rPr>
          <w:rFonts w:hint="eastAsia" w:ascii="仿宋_GB2312" w:hAnsi="仿宋_GB2312" w:eastAsia="仿宋_GB2312" w:cs="仿宋_GB2312"/>
          <w:sz w:val="24"/>
          <w:lang w:eastAsia="zh-CN"/>
        </w:rPr>
        <w:t>合同履行期间，乙方应按照此项报价足额投入安全文明施工费。</w:t>
      </w:r>
    </w:p>
    <w:p>
      <w:pPr>
        <w:keepNext w:val="0"/>
        <w:keepLines w:val="0"/>
        <w:pageBreakBefore w:val="0"/>
        <w:widowControl w:val="0"/>
        <w:numPr>
          <w:ilvl w:val="-1"/>
          <w:numId w:val="0"/>
        </w:numPr>
        <w:kinsoku/>
        <w:wordWrap/>
        <w:overflowPunct/>
        <w:topLinePunct w:val="0"/>
        <w:autoSpaceDE/>
        <w:autoSpaceDN/>
        <w:bidi w:val="0"/>
        <w:snapToGrid/>
        <w:spacing w:line="360" w:lineRule="auto"/>
        <w:jc w:val="both"/>
        <w:rPr>
          <w:rFonts w:hint="eastAsia" w:ascii="仿宋_GB2312" w:hAnsi="仿宋_GB2312" w:eastAsia="仿宋_GB2312" w:cs="仿宋_GB2312"/>
          <w:sz w:val="24"/>
          <w:lang w:eastAsia="zh-CN"/>
        </w:rPr>
      </w:pPr>
      <w:r>
        <w:rPr>
          <w:rFonts w:hint="eastAsia" w:ascii="仿宋_GB2312" w:hAnsi="仿宋_GB2312" w:eastAsia="仿宋_GB2312" w:cs="仿宋_GB2312"/>
          <w:b w:val="0"/>
          <w:bCs w:val="0"/>
          <w:sz w:val="24"/>
          <w:lang w:val="en-US" w:eastAsia="zh-CN"/>
        </w:rPr>
        <w:t>2、</w:t>
      </w:r>
      <w:r>
        <w:rPr>
          <w:rFonts w:hint="eastAsia" w:ascii="仿宋_GB2312" w:hAnsi="仿宋_GB2312" w:eastAsia="仿宋_GB2312" w:cs="仿宋_GB2312"/>
          <w:b w:val="0"/>
          <w:bCs w:val="0"/>
          <w:sz w:val="24"/>
          <w:lang w:eastAsia="zh-CN"/>
        </w:rPr>
        <w:t>报价有效期为报价截止之日起</w:t>
      </w:r>
      <w:r>
        <w:rPr>
          <w:rFonts w:hint="eastAsia" w:ascii="仿宋_GB2312" w:hAnsi="仿宋_GB2312" w:eastAsia="仿宋_GB2312" w:cs="仿宋_GB2312"/>
          <w:b w:val="0"/>
          <w:bCs w:val="0"/>
          <w:sz w:val="24"/>
          <w:lang w:val="en-US" w:eastAsia="zh-CN"/>
        </w:rPr>
        <w:t>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3、本</w:t>
      </w:r>
      <w:r>
        <w:rPr>
          <w:rFonts w:hint="eastAsia" w:ascii="仿宋_GB2312" w:hAnsi="仿宋_GB2312" w:eastAsia="仿宋_GB2312" w:cs="仿宋_GB2312"/>
          <w:sz w:val="24"/>
        </w:rPr>
        <w:t>项目工作范围同技术</w:t>
      </w:r>
      <w:r>
        <w:rPr>
          <w:rFonts w:hint="eastAsia" w:ascii="仿宋_GB2312" w:hAnsi="仿宋_GB2312" w:eastAsia="仿宋_GB2312" w:cs="仿宋_GB2312"/>
          <w:sz w:val="24"/>
          <w:lang w:eastAsia="zh-CN"/>
        </w:rPr>
        <w:t>规范书</w:t>
      </w:r>
      <w:r>
        <w:rPr>
          <w:rFonts w:hint="eastAsia" w:ascii="仿宋_GB2312" w:hAnsi="仿宋_GB2312" w:eastAsia="仿宋_GB2312" w:cs="仿宋_GB2312"/>
          <w:sz w:val="24"/>
        </w:rPr>
        <w:t>。</w:t>
      </w:r>
    </w:p>
    <w:p>
      <w:pPr>
        <w:keepNext w:val="0"/>
        <w:keepLines w:val="0"/>
        <w:pageBreakBefore w:val="0"/>
        <w:widowControl w:val="0"/>
        <w:numPr>
          <w:ilvl w:val="0"/>
          <w:numId w:val="0"/>
        </w:numPr>
        <w:kinsoku/>
        <w:wordWrap/>
        <w:overflowPunct/>
        <w:topLinePunct w:val="0"/>
        <w:autoSpaceDE/>
        <w:autoSpaceDN/>
        <w:bidi w:val="0"/>
        <w:snapToGrid/>
        <w:spacing w:line="360" w:lineRule="auto"/>
        <w:jc w:val="both"/>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4、法定代表人亲自报价的，应提供法定代表人身份证明，非报价单位法定代表人亲自报价的，应提供授权委托书（经法定代表人签字并加盖公司公章，授权范围应至少包括报价、谈判、签订合同）。</w:t>
      </w:r>
    </w:p>
    <w:p>
      <w:pPr>
        <w:pStyle w:val="8"/>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5、本报价单标注的实质性条款为项目合同的主要条款，若中选，报价人不得要求对实质性条款作出实质性修改，否则川南发电公司有权取消其中选资格。</w:t>
      </w:r>
    </w:p>
    <w:p>
      <w:pPr>
        <w:pStyle w:val="8"/>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6、</w:t>
      </w:r>
      <w:r>
        <w:rPr>
          <w:rFonts w:hint="eastAsia" w:ascii="仿宋_GB2312" w:hAnsi="仿宋_GB2312" w:eastAsia="仿宋_GB2312" w:cs="仿宋_GB2312"/>
          <w:sz w:val="24"/>
          <w:lang w:val="en-US" w:eastAsia="zh-CN"/>
        </w:rPr>
        <w:t>报价人未按要求比例填报安全文明施工费的，应在谈判中进行调整，经谈判仍不调整的，川南发电公司有权废除其报价资格。</w:t>
      </w:r>
    </w:p>
    <w:p>
      <w:pPr>
        <w:jc w:val="both"/>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脱硫系统附属设施专项治理报价明细表（所有单价均含税）</w:t>
      </w:r>
      <w:r>
        <w:rPr>
          <w:rFonts w:hint="eastAsia" w:ascii="仿宋_GB2312" w:hAnsi="仿宋_GB2312" w:eastAsia="仿宋_GB2312" w:cs="仿宋_GB2312"/>
          <w:sz w:val="24"/>
          <w:lang w:val="en-US" w:eastAsia="zh-CN"/>
        </w:rPr>
        <w:t>：</w:t>
      </w:r>
    </w:p>
    <w:tbl>
      <w:tblPr>
        <w:tblStyle w:val="6"/>
        <w:tblW w:w="9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9"/>
        <w:gridCol w:w="1002"/>
        <w:gridCol w:w="1493"/>
        <w:gridCol w:w="1936"/>
        <w:gridCol w:w="1672"/>
        <w:gridCol w:w="791"/>
        <w:gridCol w:w="723"/>
        <w:gridCol w:w="736"/>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blHeader/>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序号</w:t>
            </w:r>
          </w:p>
        </w:tc>
        <w:tc>
          <w:tcPr>
            <w:tcW w:w="44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具体区域</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工程量</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单价</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w:t>
            </w:r>
          </w:p>
        </w:tc>
        <w:tc>
          <w:tcPr>
            <w:tcW w:w="100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#1脱硫吸收塔</w:t>
            </w:r>
          </w:p>
        </w:tc>
        <w:tc>
          <w:tcPr>
            <w:tcW w:w="149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给浆操作平台（含）至吸收塔标高40.5m扶梯平台</w:t>
            </w: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踏步板280*800mm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踏步板200*800mm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需更换φ32栏杆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#10踢脚板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Z字扶梯至给浆平台天桥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标高16.6m平台</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需更换#16槽钢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φ32栏杆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11</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Z字扶梯至托盘层人孔天桥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标高19.5m平台</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需更换#16槽钢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φ32栏杆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靠锅炉侧GGH平台至一级塔</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氧化风支管冲洗水平台天桥</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需更换#16槽钢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17</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氧化风支管冲洗水平台</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需更换#10槽钢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100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#1脱硫原烟道</w:t>
            </w:r>
          </w:p>
        </w:tc>
        <w:tc>
          <w:tcPr>
            <w:tcW w:w="1493"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A、B侧13.2m至23.3m扶梯平台</w:t>
            </w: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踏步板200*800mm </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需更换φ32栏杆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#10踢脚板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24</w:t>
            </w:r>
          </w:p>
        </w:tc>
        <w:tc>
          <w:tcPr>
            <w:tcW w:w="100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#1脱硫净烟道</w:t>
            </w:r>
          </w:p>
        </w:tc>
        <w:tc>
          <w:tcPr>
            <w:tcW w:w="1493"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A、B侧13.2m至23.3m扶梯平台</w:t>
            </w: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踏步板200*800mm </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26</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需更换φ32栏杆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27</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28</w:t>
            </w:r>
          </w:p>
        </w:tc>
        <w:tc>
          <w:tcPr>
            <w:tcW w:w="100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#2脱硫吸收塔</w:t>
            </w:r>
          </w:p>
        </w:tc>
        <w:tc>
          <w:tcPr>
            <w:tcW w:w="149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靠锅炉侧GGH平台至一级塔</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氧化风支管冲洗水平台天桥</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需更换#16槽钢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30</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氧化风支管冲洗水平台</w:t>
            </w:r>
          </w:p>
        </w:tc>
        <w:tc>
          <w:tcPr>
            <w:tcW w:w="193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72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_GB2312" w:hAnsi="仿宋_GB2312" w:eastAsia="仿宋_GB2312" w:cs="仿宋_GB2312"/>
                <w:i w:val="0"/>
                <w:color w:val="000000"/>
                <w:sz w:val="24"/>
                <w:szCs w:val="24"/>
                <w:u w:val="none"/>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需更换#10槽钢</w:t>
            </w:r>
          </w:p>
        </w:tc>
        <w:tc>
          <w:tcPr>
            <w:tcW w:w="791"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723"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32</w:t>
            </w:r>
          </w:p>
        </w:tc>
        <w:tc>
          <w:tcPr>
            <w:tcW w:w="100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#2脱硫原烟道</w:t>
            </w:r>
          </w:p>
        </w:tc>
        <w:tc>
          <w:tcPr>
            <w:tcW w:w="149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A、B侧13.2m至23.3m扶梯平台及顶部平台延伸4m</w:t>
            </w: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踏步板200*800mm </w:t>
            </w:r>
          </w:p>
        </w:tc>
        <w:tc>
          <w:tcPr>
            <w:tcW w:w="79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34</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需更换φ32栏杆</w:t>
            </w:r>
          </w:p>
        </w:tc>
        <w:tc>
          <w:tcPr>
            <w:tcW w:w="79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#10踢脚板</w:t>
            </w:r>
          </w:p>
        </w:tc>
        <w:tc>
          <w:tcPr>
            <w:tcW w:w="79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37</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#16槽钢</w:t>
            </w:r>
          </w:p>
        </w:tc>
        <w:tc>
          <w:tcPr>
            <w:tcW w:w="79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38</w:t>
            </w:r>
          </w:p>
        </w:tc>
        <w:tc>
          <w:tcPr>
            <w:tcW w:w="100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#2脱硫净烟道</w:t>
            </w:r>
          </w:p>
        </w:tc>
        <w:tc>
          <w:tcPr>
            <w:tcW w:w="1493"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24"/>
                <w:szCs w:val="24"/>
                <w:u w:val="none"/>
              </w:rPr>
            </w:pPr>
            <w:r>
              <w:rPr>
                <w:rFonts w:hint="eastAsia" w:ascii="仿宋_GB2312" w:hAnsi="仿宋_GB2312" w:eastAsia="仿宋_GB2312" w:cs="仿宋_GB2312"/>
                <w:b w:val="0"/>
                <w:bCs w:val="0"/>
                <w:i w:val="0"/>
                <w:color w:val="000000"/>
                <w:kern w:val="0"/>
                <w:sz w:val="24"/>
                <w:szCs w:val="24"/>
                <w:u w:val="none"/>
                <w:lang w:val="en-US" w:eastAsia="zh-CN" w:bidi="ar"/>
              </w:rPr>
              <w:t>A、B侧13.2m至23.3m扶梯平台及顶部平台延伸4m</w:t>
            </w:r>
          </w:p>
        </w:tc>
        <w:tc>
          <w:tcPr>
            <w:tcW w:w="193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39</w:t>
            </w:r>
          </w:p>
        </w:tc>
        <w:tc>
          <w:tcPr>
            <w:tcW w:w="100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437"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踏步板200*800mm </w:t>
            </w:r>
          </w:p>
        </w:tc>
        <w:tc>
          <w:tcPr>
            <w:tcW w:w="791"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块</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10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93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需更换φ32栏杆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41</w:t>
            </w:r>
          </w:p>
        </w:tc>
        <w:tc>
          <w:tcPr>
            <w:tcW w:w="10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w:t>
            </w:r>
          </w:p>
        </w:tc>
        <w:tc>
          <w:tcPr>
            <w:tcW w:w="10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#10踢脚板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43</w:t>
            </w:r>
          </w:p>
        </w:tc>
        <w:tc>
          <w:tcPr>
            <w:tcW w:w="100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493"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44</w:t>
            </w:r>
          </w:p>
        </w:tc>
        <w:tc>
          <w:tcPr>
            <w:tcW w:w="249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#3、#4石膏旋流站操作平台</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需更换树脂格栅板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45</w:t>
            </w:r>
          </w:p>
        </w:tc>
        <w:tc>
          <w:tcPr>
            <w:tcW w:w="249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需更换φ32栏杆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46</w:t>
            </w:r>
          </w:p>
        </w:tc>
        <w:tc>
          <w:tcPr>
            <w:tcW w:w="249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47</w:t>
            </w:r>
          </w:p>
        </w:tc>
        <w:tc>
          <w:tcPr>
            <w:tcW w:w="249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#10踢脚板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48</w:t>
            </w:r>
          </w:p>
        </w:tc>
        <w:tc>
          <w:tcPr>
            <w:tcW w:w="249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49</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脱硫综合管架操作平台</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w:t>
            </w:r>
          </w:p>
        </w:tc>
        <w:tc>
          <w:tcPr>
            <w:tcW w:w="249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#3、#4斗提机顶部减速机平台</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51</w:t>
            </w:r>
          </w:p>
        </w:tc>
        <w:tc>
          <w:tcPr>
            <w:tcW w:w="249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需更换#16槽钢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52</w:t>
            </w:r>
          </w:p>
        </w:tc>
        <w:tc>
          <w:tcPr>
            <w:tcW w:w="2495" w:type="dxa"/>
            <w:gridSpan w:val="2"/>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#1、#2斗提机顶部平台</w:t>
            </w:r>
          </w:p>
        </w:tc>
        <w:tc>
          <w:tcPr>
            <w:tcW w:w="193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需更换φ32栏杆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53</w:t>
            </w:r>
          </w:p>
        </w:tc>
        <w:tc>
          <w:tcPr>
            <w:tcW w:w="2495"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φ25栏杆</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54</w:t>
            </w:r>
          </w:p>
        </w:tc>
        <w:tc>
          <w:tcPr>
            <w:tcW w:w="2495"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#1、#2斗提机顶部减速机平台</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钢制热侵镀锌格栅板、踏步板（除特殊说明外）</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需更换钢格栅板</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55</w:t>
            </w:r>
          </w:p>
        </w:tc>
        <w:tc>
          <w:tcPr>
            <w:tcW w:w="2495"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栏杆、扁钢、槽钢</w:t>
            </w: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需更换#16槽钢</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m</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842"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合计（即报价表综合含税总报价）</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bl>
    <w:p>
      <w:pPr>
        <w:rPr>
          <w:rFonts w:hint="eastAsia" w:ascii="仿宋_GB2312" w:hAnsi="仿宋_GB2312" w:eastAsia="仿宋_GB2312" w:cs="仿宋_GB2312"/>
          <w:sz w:val="24"/>
          <w:lang w:val="en-US" w:eastAsia="zh-CN"/>
        </w:rPr>
      </w:pPr>
    </w:p>
    <w:p>
      <w:pPr>
        <w:numPr>
          <w:ilvl w:val="0"/>
          <w:numId w:val="1"/>
        </w:num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报价保证金</w:t>
      </w:r>
    </w:p>
    <w:p>
      <w:pPr>
        <w:pStyle w:val="4"/>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报价保证金为¥0.5万元（伍仟元整），到账截止时间为2024年5月13日10:00，报价保证金应在到账截止时间前存入川南发电公司基本账户。</w:t>
      </w:r>
    </w:p>
    <w:p>
      <w:pPr>
        <w:pStyle w:val="4"/>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bookmarkStart w:id="11" w:name="_GoBack"/>
      <w:bookmarkEnd w:id="11"/>
    </w:p>
    <w:p>
      <w:pPr>
        <w:pStyle w:val="4"/>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pPr>
        <w:pStyle w:val="4"/>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pPr>
        <w:pStyle w:val="4"/>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报价人须以自己的账户名义将报价保证金存入以上账户，非报价人账户存入的，其报价文件不被竞争性谈判人接受。</w:t>
      </w:r>
    </w:p>
    <w:p>
      <w:pPr>
        <w:pStyle w:val="4"/>
        <w:spacing w:line="360" w:lineRule="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川南发电公司在与中选单位签订合同且履约保证金（或保函）已提交后30日内退还中选单位及未中选单位报价押金（无息）。中选单位不与川南发电公司签订书面合同或签订书面合同过程中对项目实质性条款提出变更的，川南发电公司有权按照项目评审排名选择与下一顺位报价人签订书面合同。</w:t>
      </w:r>
    </w:p>
    <w:p>
      <w:pPr>
        <w:pStyle w:val="4"/>
        <w:numPr>
          <w:ilvl w:val="0"/>
          <w:numId w:val="0"/>
        </w:numPr>
        <w:spacing w:line="360" w:lineRule="auto"/>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1.1本项目书面合同签订且履约保证金或保函缴纳后，乙方向甲方开具暂定合同含税金额的10%的收据后30日内，甲方向乙方支付相应金额的预付款（含项目的安全文明施工费）。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1.2合同项目全部竣工验收合格，乙方向甲方移交竣工资料且归档，乙方办理竣工结算完毕，乙方向甲方提交付款申请单和合同结算金额100%的增值税专用发票后的30日内，甲方向乙方支付至合同结算金额的95％；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【结算价=综合含税单价×实际施工工程量，其中实际施工工程量不超过</w:t>
      </w:r>
      <w:r>
        <w:rPr>
          <w:rFonts w:hint="eastAsia" w:ascii="仿宋_GB2312" w:hAnsi="仿宋_GB2312" w:eastAsia="仿宋_GB2312" w:cs="仿宋_GB2312"/>
          <w:b w:val="0"/>
          <w:bCs/>
          <w:color w:val="auto"/>
          <w:kern w:val="2"/>
          <w:sz w:val="24"/>
          <w:szCs w:val="24"/>
          <w:highlight w:val="none"/>
          <w:lang w:val="en-US" w:eastAsia="zh-CN" w:bidi="ar-SA"/>
        </w:rPr>
        <w:t>预计工程量，超出部分甲方不在本项目合同中进行结算，也不另行结算</w:t>
      </w:r>
      <w:r>
        <w:rPr>
          <w:rFonts w:hint="eastAsia" w:ascii="仿宋_GB2312" w:hAnsi="仿宋_GB2312" w:eastAsia="仿宋_GB2312" w:cs="仿宋_GB231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1.3合同结算金额的5％为质保金。质保期满一年（自项目竣工验收之日起算）并经甲方相关部门确认无质量问题、乙方向甲方提交付款申请单且出具收据后30日内，甲方向乙方支付剩余的质保金。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1.4甲方向乙方支付相应价款时，有权扣除乙方被甲方考核的费用。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到施工费、高空作业费、危废处置费、人工费、方案费、机具费、措施费、运输费、管理费、利润、保险费、安全生产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”金额里（除脚手架搭拆和材料，如：钢管、槽钢、圆钢、扁钢、格栅板等）。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pPr>
        <w:adjustRightInd/>
        <w:spacing w:line="360" w:lineRule="auto"/>
        <w:ind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pPr>
        <w:pStyle w:val="4"/>
        <w:ind w:left="0" w:leftChars="0" w:firstLine="0" w:firstLineChars="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三、履约保证金（实质性条款）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1.履约保证金额为中选人含税总报价的10%，合同签订后21日之内，乙方应将履约保证金转入甲方账户，未在21日之内提交履约金的考核工程款1000元。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3.如果乙方未能履行或不完全履行合同并给甲方造成损失,那么履约保证金将作为对这一损失的补偿而支付给甲方，履约保证金不足以弥补甲方损失的，甲方有权就不足部分向乙方追偿。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4.如果乙方未能履行合同并给甲方造成损失,那么履约保证金将作为对这一损失的补偿而支付给甲方。</w:t>
      </w:r>
    </w:p>
    <w:p>
      <w:pPr>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乙方进场时间以甲方提前通知为准，本项目应在2024年8月31日前（含当日）竣工并通过甲方验收。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2.工作范围及工作要求：详见技术规范书。</w:t>
      </w:r>
    </w:p>
    <w:p>
      <w:pPr>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3.施工人员要求：详见技术规范书。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5.其他违约责任详见《四川泸州川南发电有限责任公司脱硫系统附属设施专项治理技术规范书》。</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1.乙方未按照合同履行义务的，甲方有权不支付任何价款，并有权解除合同，因此给甲方造成损失的，乙方应承担损害赔偿责任。</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若乙方委派人员的数量、技能、工器具等不能满足本项目要求，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snapToGrid/>
        <w:spacing w:line="360" w:lineRule="auto"/>
        <w:ind w:firstLine="48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4.其他违约责任详见技术规范书。</w:t>
      </w:r>
    </w:p>
    <w:p>
      <w:pPr>
        <w:keepNext w:val="0"/>
        <w:keepLines w:val="0"/>
        <w:pageBreakBefore w:val="0"/>
        <w:widowControl w:val="0"/>
        <w:kinsoku/>
        <w:wordWrap/>
        <w:overflowPunct/>
        <w:topLinePunct w:val="0"/>
        <w:autoSpaceDE/>
        <w:autoSpaceDN/>
        <w:bidi w:val="0"/>
        <w:snapToGrid/>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六、报价纪律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lang w:eastAsia="zh-CN"/>
        </w:rPr>
        <w:t>报价人不得相互串通报价，不得排挤其他报价人公平竞争，不得干扰川南发电公司的评审谈判工作，不得以任何形式打探和搜集评审谈判情况，不得与川南发电公司、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lang w:eastAsia="zh-CN"/>
        </w:rPr>
        <w:t xml:space="preserve">报价人只能通过竞争性谈判公告允许的方式向川南发电公司送达报价文件。 </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eastAsia="zh-CN"/>
        </w:rPr>
        <w:t>严禁报价人向川南发电公司及其工作人员、同类项目单位及其工作人员以行贿的手段谋取中选。</w:t>
      </w:r>
    </w:p>
    <w:p>
      <w:pPr>
        <w:spacing w:line="360" w:lineRule="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其他说明：</w:t>
      </w: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称（盖单位公章）</w:t>
      </w:r>
    </w:p>
    <w:p>
      <w:pPr>
        <w:ind w:firstLine="6000" w:firstLineChars="25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ind w:firstLine="6240" w:firstLineChars="26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年    月    日   </w:t>
      </w:r>
    </w:p>
    <w:p>
      <w:pPr>
        <w:numPr>
          <w:ilvl w:val="0"/>
          <w:numId w:val="0"/>
        </w:numPr>
        <w:jc w:val="both"/>
        <w:rPr>
          <w:rFonts w:hint="default" w:ascii="仿宋" w:hAnsi="仿宋" w:eastAsia="仿宋" w:cs="仿宋"/>
          <w:b w:val="0"/>
          <w:bCs w:val="0"/>
          <w:sz w:val="28"/>
          <w:szCs w:val="28"/>
          <w:lang w:val="en-US" w:eastAsia="zh-CN"/>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（单位地址）</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hint="eastAsia" w:ascii="仿宋_GB2312" w:hAnsi="仿宋_GB2312" w:eastAsia="仿宋_GB2312" w:cs="仿宋_GB2312"/>
          <w:sz w:val="24"/>
          <w:u w:val="single"/>
        </w:rPr>
        <w:t xml:space="preserve">至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keepNext w:val="0"/>
        <w:keepLines w:val="0"/>
        <w:pageBreakBefore w:val="0"/>
        <w:widowControl/>
        <w:kinsoku/>
        <w:wordWrap/>
        <w:overflowPunct/>
        <w:topLinePunct w:val="0"/>
        <w:autoSpaceDE/>
        <w:autoSpaceDN/>
        <w:bidi w:val="0"/>
        <w:adjustRightInd/>
        <w:spacing w:line="440" w:lineRule="exact"/>
        <w:ind w:firstLine="960" w:firstLineChars="4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440" w:lineRule="exact"/>
              <w:jc w:val="center"/>
              <w:textAlignment w:val="auto"/>
              <w:rPr>
                <w:rFonts w:hint="eastAsia" w:ascii="仿宋_GB2312" w:hAnsi="仿宋_GB2312" w:eastAsia="仿宋_GB2312" w:cs="仿宋_GB2312"/>
                <w:sz w:val="24"/>
              </w:rPr>
            </w:pPr>
            <w:bookmarkStart w:id="0" w:name="_Toc460953405"/>
            <w:bookmarkStart w:id="1" w:name="_Toc466443899"/>
            <w:bookmarkStart w:id="2" w:name="_Toc466624757"/>
            <w:bookmarkStart w:id="3" w:name="_Toc460953751"/>
            <w:bookmarkStart w:id="4" w:name="_Toc466626700"/>
            <w:r>
              <w:rPr>
                <w:rFonts w:hint="eastAsia" w:ascii="仿宋_GB2312" w:hAnsi="仿宋_GB2312" w:eastAsia="仿宋_GB2312" w:cs="仿宋_GB2312"/>
                <w:sz w:val="24"/>
              </w:rPr>
              <w:t>法定代表人身份证复印件正面</w:t>
            </w:r>
            <w:bookmarkEnd w:id="0"/>
            <w:bookmarkEnd w:id="1"/>
            <w:bookmarkEnd w:id="2"/>
            <w:bookmarkEnd w:id="3"/>
            <w:bookmarkEnd w:id="4"/>
          </w:p>
        </w:tc>
        <w:tc>
          <w:tcPr>
            <w:tcW w:w="4819" w:type="dxa"/>
            <w:noWrap w:val="0"/>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440" w:lineRule="exact"/>
              <w:jc w:val="center"/>
              <w:textAlignment w:val="auto"/>
              <w:rPr>
                <w:rFonts w:hint="eastAsia" w:ascii="仿宋_GB2312" w:hAnsi="仿宋_GB2312" w:eastAsia="仿宋_GB2312" w:cs="仿宋_GB2312"/>
                <w:sz w:val="24"/>
              </w:rPr>
            </w:pPr>
            <w:bookmarkStart w:id="5" w:name="_Toc466624758"/>
            <w:bookmarkStart w:id="6" w:name="_Toc460953752"/>
            <w:bookmarkStart w:id="7" w:name="_Toc460953406"/>
            <w:bookmarkStart w:id="8" w:name="_Toc466443900"/>
            <w:bookmarkStart w:id="9" w:name="_Toc466626701"/>
            <w:r>
              <w:rPr>
                <w:rFonts w:hint="eastAsia" w:ascii="仿宋_GB2312" w:hAnsi="仿宋_GB2312" w:eastAsia="仿宋_GB2312" w:cs="仿宋_GB2312"/>
                <w:sz w:val="24"/>
              </w:rPr>
              <w:t>法定代表人身份证复印件反面</w:t>
            </w:r>
            <w:bookmarkEnd w:id="5"/>
            <w:bookmarkEnd w:id="6"/>
            <w:bookmarkEnd w:id="7"/>
            <w:bookmarkEnd w:id="8"/>
            <w:bookmarkEnd w:id="9"/>
          </w:p>
        </w:tc>
      </w:tr>
    </w:tbl>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3600" w:firstLineChars="15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w:t>
      </w:r>
      <w:r>
        <w:rPr>
          <w:rFonts w:hint="eastAsia" w:ascii="仿宋_GB2312" w:hAnsi="仿宋_GB2312" w:eastAsia="仿宋_GB2312" w:cs="仿宋_GB2312"/>
          <w:sz w:val="24"/>
        </w:rPr>
        <w:t>）</w:t>
      </w:r>
    </w:p>
    <w:p>
      <w:pPr>
        <w:pStyle w:val="8"/>
        <w:ind w:firstLine="3640" w:firstLineChars="1400"/>
        <w:rPr>
          <w:rFonts w:hint="eastAsia"/>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6840" w:firstLineChars="2850"/>
        <w:textAlignment w:val="auto"/>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Cs w:val="21"/>
          <w:lang w:eastAsia="zh-CN"/>
        </w:rPr>
        <w:t>，</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/专用章即视为报价人确认“复印件与原件核对一致”</w:t>
      </w:r>
      <w:r>
        <w:rPr>
          <w:rFonts w:hint="eastAsia" w:ascii="仿宋_GB2312" w:hAnsi="仿宋_GB2312" w:eastAsia="仿宋_GB2312" w:cs="仿宋_GB2312"/>
          <w:szCs w:val="21"/>
        </w:rPr>
        <w:t>。</w:t>
      </w:r>
    </w:p>
    <w:p>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hint="eastAsia" w:ascii="仿宋_GB2312" w:hAnsi="仿宋_GB2312" w:eastAsia="仿宋_GB2312" w:cs="仿宋_GB2312"/>
          <w:sz w:val="24"/>
        </w:rPr>
      </w:pPr>
    </w:p>
    <w:p>
      <w:pPr>
        <w:tabs>
          <w:tab w:val="left" w:pos="900"/>
        </w:tabs>
        <w:adjustRightInd w:val="0"/>
        <w:snapToGrid w:val="0"/>
        <w:spacing w:line="30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hint="eastAsia" w:ascii="仿宋_GB2312" w:hAnsi="仿宋_GB2312" w:eastAsia="仿宋_GB2312" w:cs="仿宋_GB2312"/>
          <w:sz w:val="24"/>
          <w:lang w:eastAsia="zh-CN"/>
        </w:rPr>
      </w:pP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（盖单位</w:t>
      </w:r>
      <w:r>
        <w:rPr>
          <w:rFonts w:hint="eastAsia" w:ascii="仿宋_GB2312" w:hAnsi="仿宋_GB2312" w:eastAsia="仿宋_GB2312" w:cs="仿宋_GB2312"/>
          <w:sz w:val="24"/>
          <w:u w:val="single"/>
          <w:lang w:eastAsia="zh-CN"/>
        </w:rPr>
        <w:t>公</w:t>
      </w:r>
      <w:r>
        <w:rPr>
          <w:rFonts w:hint="eastAsia" w:ascii="仿宋_GB2312" w:hAnsi="仿宋_GB2312" w:eastAsia="仿宋_GB2312" w:cs="仿宋_GB2312"/>
          <w:sz w:val="24"/>
          <w:u w:val="single"/>
        </w:rPr>
        <w:t>章</w:t>
      </w:r>
      <w:r>
        <w:rPr>
          <w:rFonts w:hint="eastAsia" w:ascii="仿宋_GB2312" w:hAnsi="仿宋_GB2312" w:eastAsia="仿宋_GB2312" w:cs="仿宋_GB2312"/>
          <w:sz w:val="24"/>
          <w:u w:val="single"/>
          <w:lang w:val="en-US" w:eastAsia="zh-CN"/>
        </w:rPr>
        <w:t>/专用章</w:t>
      </w:r>
      <w:r>
        <w:rPr>
          <w:rFonts w:hint="eastAsia" w:ascii="仿宋_GB2312" w:hAnsi="仿宋_GB2312" w:eastAsia="仿宋_GB2312" w:cs="仿宋_GB2312"/>
          <w:sz w:val="24"/>
          <w:u w:val="single"/>
        </w:rPr>
        <w:t>）</w:t>
      </w: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委托代理人</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ind w:right="-260" w:rightChars="-124"/>
        <w:jc w:val="both"/>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widowControl/>
        <w:spacing w:line="360" w:lineRule="auto"/>
        <w:jc w:val="center"/>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 xml:space="preserve">                                送达地址：</w:t>
      </w:r>
      <w:r>
        <w:rPr>
          <w:rFonts w:hint="eastAsia" w:ascii="仿宋_GB2312" w:hAnsi="仿宋_GB2312" w:eastAsia="仿宋_GB2312" w:cs="仿宋_GB2312"/>
          <w:sz w:val="24"/>
          <w:u w:val="single"/>
          <w:lang w:val="en-US" w:eastAsia="zh-CN"/>
        </w:rPr>
        <w:t xml:space="preserve">（中选后合同及合同履行资料邮寄地址）    </w:t>
      </w:r>
    </w:p>
    <w:p>
      <w:pPr>
        <w:widowControl/>
        <w:spacing w:line="360" w:lineRule="auto"/>
        <w:ind w:firstLine="6480" w:firstLineChars="2700"/>
        <w:jc w:val="righ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Cs w:val="21"/>
          <w:lang w:eastAsia="zh-CN"/>
        </w:rPr>
        <w:t>，</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/专用章即视为报价人确认“复印件与原件核对一致”</w:t>
      </w:r>
      <w:r>
        <w:rPr>
          <w:rFonts w:hint="eastAsia" w:ascii="仿宋_GB2312" w:hAnsi="仿宋_GB2312" w:eastAsia="仿宋_GB2312" w:cs="仿宋_GB2312"/>
          <w:szCs w:val="21"/>
        </w:rPr>
        <w:t>。</w:t>
      </w:r>
    </w:p>
    <w:p>
      <w:pPr>
        <w:pStyle w:val="8"/>
      </w:pPr>
    </w:p>
    <w:p>
      <w:pPr>
        <w:pStyle w:val="8"/>
      </w:pPr>
    </w:p>
    <w:p>
      <w:pPr>
        <w:pStyle w:val="8"/>
      </w:pPr>
    </w:p>
    <w:p>
      <w:pPr>
        <w:pStyle w:val="8"/>
      </w:pPr>
    </w:p>
    <w:p>
      <w:pPr>
        <w:adjustRightInd w:val="0"/>
        <w:snapToGrid w:val="0"/>
        <w:jc w:val="center"/>
        <w:rPr>
          <w:rFonts w:hint="eastAsia" w:ascii="方正小标宋简体" w:hAnsi="方正小标宋简体" w:eastAsia="方正小标宋简体" w:cs="方正小标宋简体"/>
          <w:kern w:val="44"/>
          <w:sz w:val="44"/>
          <w:szCs w:val="44"/>
          <w:highlight w:val="yellow"/>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hint="eastAsia" w:ascii="仿宋_GB2312" w:hAnsi="仿宋_GB2312" w:eastAsia="仿宋_GB2312" w:cs="仿宋_GB2312"/>
          <w:sz w:val="24"/>
          <w:highlight w:val="yellow"/>
        </w:rPr>
      </w:pPr>
    </w:p>
    <w:p>
      <w:pPr>
        <w:adjustRightInd w:val="0"/>
        <w:snapToGrid w:val="0"/>
        <w:spacing w:line="300" w:lineRule="auto"/>
        <w:rPr>
          <w:rFonts w:hint="eastAsia"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lang w:eastAsia="zh-CN"/>
        </w:rPr>
        <w:t>四川泸州川南发电有限责任公司</w:t>
      </w:r>
      <w:r>
        <w:rPr>
          <w:rFonts w:hint="eastAsia" w:ascii="仿宋_GB2312" w:hAnsi="仿宋_GB2312" w:eastAsia="仿宋_GB2312" w:cs="仿宋_GB2312"/>
          <w:b/>
          <w:sz w:val="24"/>
        </w:rPr>
        <w:t>：</w:t>
      </w:r>
    </w:p>
    <w:p>
      <w:pPr>
        <w:numPr>
          <w:ilvl w:val="0"/>
          <w:numId w:val="0"/>
        </w:numPr>
        <w:tabs>
          <w:tab w:val="left" w:pos="900"/>
        </w:tabs>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我公司已充分了解</w:t>
      </w:r>
      <w:r>
        <w:rPr>
          <w:rFonts w:hint="eastAsia" w:ascii="仿宋_GB2312" w:hAnsi="仿宋_GB2312" w:eastAsia="仿宋_GB2312" w:cs="仿宋_GB2312"/>
          <w:sz w:val="24"/>
        </w:rPr>
        <w:t>脱脱硫系统附属设施专项治理</w:t>
      </w:r>
      <w:r>
        <w:rPr>
          <w:rFonts w:hint="eastAsia" w:ascii="仿宋_GB2312" w:hAnsi="仿宋_GB2312" w:eastAsia="仿宋_GB2312" w:cs="仿宋_GB2312"/>
          <w:sz w:val="24"/>
          <w:lang w:eastAsia="zh-CN"/>
        </w:rPr>
        <w:t>项目</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eastAsia="zh-CN"/>
        </w:rPr>
        <w:t>全部</w:t>
      </w:r>
      <w:r>
        <w:rPr>
          <w:rFonts w:hint="eastAsia" w:ascii="仿宋_GB2312" w:hAnsi="仿宋_GB2312" w:eastAsia="仿宋_GB2312" w:cs="仿宋_GB2312"/>
          <w:sz w:val="24"/>
          <w:szCs w:val="24"/>
        </w:rPr>
        <w:t>工作内容，并完全了解和理解</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文件和技术规范书的要求。我公司同意报价截止之日起90天内本报价一直对我公司具有约束力，并随时被接受。</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10" w:leftChars="0" w:right="0" w:rightChars="0" w:firstLine="468" w:firstLineChars="195"/>
        <w:jc w:val="both"/>
        <w:outlineLvl w:val="9"/>
        <w:rPr>
          <w:rFonts w:hint="default" w:ascii="仿宋_GB2312" w:hAnsi="仿宋_GB2312" w:eastAsia="仿宋_GB2312" w:cs="仿宋_GB2312"/>
          <w:sz w:val="24"/>
        </w:rPr>
      </w:pPr>
      <w:r>
        <w:rPr>
          <w:rFonts w:ascii="仿宋_GB2312" w:hAnsi="仿宋_GB2312" w:eastAsia="仿宋_GB2312" w:cs="仿宋_GB2312"/>
          <w:sz w:val="24"/>
        </w:rPr>
        <w:t>承诺我公司财务状况良好，有能力完成本项目，且</w:t>
      </w:r>
      <w:r>
        <w:rPr>
          <w:rFonts w:hint="eastAsia" w:ascii="仿宋_GB2312" w:hAnsi="仿宋_GB2312" w:eastAsia="仿宋_GB2312" w:cs="仿宋_GB2312"/>
          <w:sz w:val="24"/>
        </w:rPr>
        <w:t>未被市场监管部门列入经营异常名录</w:t>
      </w:r>
      <w:r>
        <w:rPr>
          <w:rFonts w:ascii="仿宋_GB2312" w:hAnsi="仿宋_GB2312" w:eastAsia="仿宋_GB2312" w:cs="仿宋_GB2312"/>
          <w:sz w:val="24"/>
        </w:rPr>
        <w:t>。</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10" w:leftChars="0" w:right="0" w:rightChars="0" w:firstLine="468" w:firstLineChars="195"/>
        <w:jc w:val="both"/>
        <w:outlineLvl w:val="9"/>
        <w:rPr>
          <w:rFonts w:hint="default" w:ascii="仿宋_GB2312" w:hAnsi="仿宋_GB2312" w:eastAsia="仿宋_GB2312" w:cs="仿宋_GB2312"/>
          <w:sz w:val="24"/>
        </w:rPr>
      </w:pPr>
      <w:r>
        <w:rPr>
          <w:rFonts w:hint="eastAsia" w:ascii="仿宋_GB2312" w:hAnsi="仿宋_GB2312" w:eastAsia="仿宋_GB2312" w:cs="仿宋_GB2312"/>
          <w:sz w:val="24"/>
        </w:rPr>
        <w:t>我</w:t>
      </w:r>
      <w:r>
        <w:rPr>
          <w:rFonts w:hint="eastAsia" w:ascii="仿宋_GB2312" w:hAnsi="仿宋_GB2312" w:eastAsia="仿宋_GB2312" w:cs="仿宋_GB2312"/>
          <w:sz w:val="24"/>
          <w:lang w:eastAsia="zh-CN"/>
        </w:rPr>
        <w:t>公司</w:t>
      </w:r>
      <w:r>
        <w:rPr>
          <w:rFonts w:hint="eastAsia" w:ascii="仿宋_GB2312" w:hAnsi="仿宋_GB2312" w:eastAsia="仿宋_GB2312" w:cs="仿宋_GB2312"/>
          <w:sz w:val="24"/>
        </w:rPr>
        <w:t>理解</w:t>
      </w:r>
      <w:r>
        <w:rPr>
          <w:rFonts w:hint="eastAsia" w:ascii="仿宋_GB2312" w:hAnsi="仿宋_GB2312" w:eastAsia="仿宋_GB2312" w:cs="仿宋_GB2312"/>
          <w:sz w:val="24"/>
          <w:lang w:eastAsia="zh-CN"/>
        </w:rPr>
        <w:t>竞争性谈判</w:t>
      </w:r>
      <w:r>
        <w:rPr>
          <w:rFonts w:hint="eastAsia" w:ascii="仿宋_GB2312" w:hAnsi="仿宋_GB2312" w:eastAsia="仿宋_GB2312" w:cs="仿宋_GB2312"/>
          <w:sz w:val="24"/>
        </w:rPr>
        <w:t>单位并不一定以最低价中选的结果，并不要求对未中选理由做出任何解释</w:t>
      </w:r>
      <w:r>
        <w:rPr>
          <w:rFonts w:ascii="仿宋_GB2312" w:hAnsi="仿宋_GB2312" w:eastAsia="仿宋_GB2312" w:cs="仿宋_GB2312"/>
          <w:sz w:val="24"/>
        </w:rPr>
        <w:t>。</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10" w:leftChars="0" w:right="0" w:rightChars="0" w:firstLine="468" w:firstLineChars="195"/>
        <w:jc w:val="both"/>
        <w:outlineLvl w:val="9"/>
        <w:rPr>
          <w:rFonts w:hint="default" w:ascii="仿宋_GB2312" w:hAnsi="仿宋_GB2312" w:eastAsia="仿宋_GB2312" w:cs="仿宋_GB2312"/>
          <w:sz w:val="24"/>
        </w:rPr>
      </w:pPr>
      <w:r>
        <w:rPr>
          <w:rFonts w:ascii="仿宋_GB2312" w:hAnsi="仿宋_GB2312" w:eastAsia="仿宋_GB2312" w:cs="仿宋_GB2312"/>
          <w:sz w:val="24"/>
        </w:rPr>
        <w:t>若因我公司原因导致的工期延误，我公司承诺按合同条款要求进行赔偿，结算时从工程款中扣减。</w:t>
      </w:r>
    </w:p>
    <w:p>
      <w:pPr>
        <w:keepNext w:val="0"/>
        <w:keepLines w:val="0"/>
        <w:pageBreakBefore w:val="0"/>
        <w:widowControl w:val="0"/>
        <w:numPr>
          <w:ilvl w:val="0"/>
          <w:numId w:val="2"/>
        </w:numPr>
        <w:kinsoku/>
        <w:wordWrap/>
        <w:overflowPunct/>
        <w:topLinePunct w:val="0"/>
        <w:autoSpaceDE/>
        <w:autoSpaceDN/>
        <w:bidi w:val="0"/>
        <w:adjustRightInd w:val="0"/>
        <w:spacing w:line="360" w:lineRule="auto"/>
        <w:ind w:left="10" w:leftChars="0" w:right="0" w:rightChars="0" w:firstLine="468" w:firstLineChars="195"/>
        <w:jc w:val="both"/>
        <w:outlineLvl w:val="9"/>
        <w:rPr>
          <w:rFonts w:hint="default" w:ascii="仿宋_GB2312" w:hAnsi="仿宋_GB2312" w:eastAsia="仿宋_GB2312" w:cs="仿宋_GB2312"/>
          <w:sz w:val="24"/>
        </w:rPr>
      </w:pPr>
      <w:r>
        <w:rPr>
          <w:rFonts w:ascii="仿宋_GB2312" w:hAnsi="仿宋_GB2312" w:eastAsia="仿宋_GB2312" w:cs="仿宋_GB2312"/>
          <w:sz w:val="24"/>
        </w:rPr>
        <w:t>我公司承诺严格按照我方提供的技术方案和采购人采购文件要求施工，并接受监督及验收。</w:t>
      </w:r>
    </w:p>
    <w:p>
      <w:pPr>
        <w:numPr>
          <w:ilvl w:val="0"/>
          <w:numId w:val="2"/>
        </w:numPr>
        <w:tabs>
          <w:tab w:val="left" w:pos="900"/>
        </w:tabs>
        <w:adjustRightInd w:val="0"/>
        <w:snapToGrid w:val="0"/>
        <w:spacing w:line="360" w:lineRule="auto"/>
        <w:ind w:left="10" w:leftChars="0" w:firstLine="468" w:firstLineChars="195"/>
        <w:rPr>
          <w:rFonts w:ascii="仿宋_GB2312" w:hAnsi="仿宋_GB2312" w:eastAsia="仿宋_GB2312" w:cs="仿宋_GB2312"/>
          <w:sz w:val="24"/>
        </w:rPr>
      </w:pPr>
      <w:r>
        <w:rPr>
          <w:rFonts w:hint="eastAsia" w:ascii="仿宋_GB2312" w:hAnsi="仿宋_GB2312" w:eastAsia="仿宋_GB2312" w:cs="仿宋_GB2312"/>
          <w:sz w:val="24"/>
        </w:rPr>
        <w:t>若中选，我方自收到贵方中选通知书之日起，同贵方成立本项目的合同关系，并将按照</w:t>
      </w:r>
      <w:r>
        <w:rPr>
          <w:rFonts w:hint="eastAsia" w:ascii="仿宋_GB2312" w:hAnsi="仿宋_GB2312" w:eastAsia="仿宋_GB2312" w:cs="仿宋_GB2312"/>
          <w:sz w:val="24"/>
          <w:lang w:eastAsia="zh-CN"/>
        </w:rPr>
        <w:t>竞争性谈判</w:t>
      </w:r>
      <w:r>
        <w:rPr>
          <w:rFonts w:hint="eastAsia" w:ascii="仿宋_GB2312" w:hAnsi="仿宋_GB2312" w:eastAsia="仿宋_GB2312" w:cs="仿宋_GB2312"/>
          <w:sz w:val="24"/>
        </w:rPr>
        <w:t>文件的具体规定与</w:t>
      </w:r>
      <w:r>
        <w:rPr>
          <w:rFonts w:hint="eastAsia" w:ascii="仿宋_GB2312" w:hAnsi="仿宋_GB2312" w:eastAsia="仿宋_GB2312" w:cs="仿宋_GB2312"/>
          <w:sz w:val="24"/>
          <w:lang w:eastAsia="zh-CN"/>
        </w:rPr>
        <w:t>竞争性谈判</w:t>
      </w:r>
      <w:r>
        <w:rPr>
          <w:rFonts w:hint="eastAsia" w:ascii="仿宋_GB2312" w:hAnsi="仿宋_GB2312" w:eastAsia="仿宋_GB2312" w:cs="仿宋_GB2312"/>
          <w:sz w:val="24"/>
        </w:rPr>
        <w:t>人签订书面经济合同，严格履行合同义务，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按时为工程提供优质的服务和成果。如果在合同执行过程中出现服务质量问题，我方承诺尽快更换/退货，并承担相应的经济责任。</w:t>
      </w:r>
    </w:p>
    <w:p>
      <w:pPr>
        <w:numPr>
          <w:ilvl w:val="0"/>
          <w:numId w:val="2"/>
        </w:numPr>
        <w:tabs>
          <w:tab w:val="left" w:pos="900"/>
        </w:tabs>
        <w:adjustRightInd w:val="0"/>
        <w:snapToGrid w:val="0"/>
        <w:spacing w:line="360" w:lineRule="auto"/>
        <w:ind w:left="10" w:leftChars="0" w:firstLine="468" w:firstLineChars="195"/>
        <w:rPr>
          <w:rFonts w:ascii="仿宋_GB2312" w:hAnsi="仿宋_GB2312" w:eastAsia="仿宋_GB2312" w:cs="仿宋_GB2312"/>
          <w:sz w:val="24"/>
        </w:rPr>
      </w:pPr>
      <w:r>
        <w:rPr>
          <w:rFonts w:hint="eastAsia" w:ascii="仿宋_GB2312" w:hAnsi="仿宋_GB2312" w:eastAsia="仿宋_GB2312" w:cs="仿宋_GB2312"/>
          <w:sz w:val="24"/>
          <w:lang w:eastAsia="zh-CN"/>
        </w:rPr>
        <w:t>若中选，因我方原因未按竞争性谈判文件要求与贵方签订书面合同，贵方有权扣除我方的报价保证金。</w:t>
      </w:r>
    </w:p>
    <w:p>
      <w:pPr>
        <w:numPr>
          <w:ilvl w:val="0"/>
          <w:numId w:val="2"/>
        </w:numPr>
        <w:tabs>
          <w:tab w:val="left" w:pos="900"/>
        </w:tabs>
        <w:adjustRightInd w:val="0"/>
        <w:snapToGrid w:val="0"/>
        <w:spacing w:line="360" w:lineRule="auto"/>
        <w:ind w:left="10" w:leftChars="0" w:firstLine="468" w:firstLineChars="195"/>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color w:val="auto"/>
          <w:sz w:val="24"/>
        </w:rPr>
        <w:t>在整个</w:t>
      </w:r>
      <w:r>
        <w:rPr>
          <w:rFonts w:hint="eastAsia" w:ascii="仿宋_GB2312" w:hAnsi="仿宋_GB2312" w:eastAsia="仿宋_GB2312" w:cs="仿宋_GB2312"/>
          <w:color w:val="auto"/>
          <w:sz w:val="24"/>
          <w:lang w:eastAsia="zh-CN"/>
        </w:rPr>
        <w:t>竞争性谈判</w:t>
      </w:r>
      <w:r>
        <w:rPr>
          <w:rFonts w:hint="eastAsia" w:ascii="仿宋_GB2312" w:hAnsi="仿宋_GB2312" w:eastAsia="仿宋_GB2312" w:cs="仿宋_GB2312"/>
          <w:color w:val="auto"/>
          <w:sz w:val="24"/>
        </w:rPr>
        <w:t>过程中，我方若有违规行为，贵方可按</w:t>
      </w:r>
      <w:r>
        <w:rPr>
          <w:rFonts w:hint="eastAsia" w:ascii="仿宋_GB2312" w:hAnsi="仿宋_GB2312" w:eastAsia="仿宋_GB2312" w:cs="仿宋_GB2312"/>
          <w:color w:val="auto"/>
          <w:sz w:val="24"/>
          <w:lang w:eastAsia="zh-CN"/>
        </w:rPr>
        <w:t>竞争性谈判</w:t>
      </w:r>
      <w:r>
        <w:rPr>
          <w:rFonts w:hint="eastAsia" w:ascii="仿宋_GB2312" w:hAnsi="仿宋_GB2312" w:eastAsia="仿宋_GB2312" w:cs="仿宋_GB2312"/>
          <w:color w:val="auto"/>
          <w:sz w:val="24"/>
        </w:rPr>
        <w:t>文件之规定给予惩罚，我方完全接受</w:t>
      </w:r>
      <w:r>
        <w:rPr>
          <w:rFonts w:hint="eastAsia" w:ascii="仿宋_GB2312" w:hAnsi="仿宋_GB2312" w:eastAsia="仿宋_GB2312" w:cs="仿宋_GB2312"/>
          <w:bCs/>
          <w:color w:val="auto"/>
          <w:sz w:val="24"/>
          <w:szCs w:val="24"/>
          <w:lang w:val="en-US" w:eastAsia="zh-CN"/>
        </w:rPr>
        <w:t>。</w:t>
      </w:r>
    </w:p>
    <w:p>
      <w:pPr>
        <w:tabs>
          <w:tab w:val="left" w:pos="900"/>
        </w:tabs>
        <w:adjustRightInd w:val="0"/>
        <w:snapToGrid w:val="0"/>
        <w:ind w:firstLine="480"/>
        <w:jc w:val="both"/>
        <w:outlineLvl w:val="9"/>
        <w:rPr>
          <w:rFonts w:hint="eastAsia" w:ascii="仿宋_GB2312" w:hAnsi="仿宋_GB2312" w:eastAsia="仿宋_GB2312" w:cs="仿宋_GB2312"/>
          <w:sz w:val="24"/>
          <w:szCs w:val="24"/>
          <w:lang w:val="en-US" w:eastAsia="zh-CN"/>
        </w:rPr>
      </w:pPr>
    </w:p>
    <w:p>
      <w:pPr>
        <w:widowControl/>
        <w:snapToGrid w:val="0"/>
        <w:spacing w:line="360" w:lineRule="auto"/>
        <w:rPr>
          <w:rFonts w:hint="eastAsia" w:ascii="仿宋_GB2312" w:hAnsi="仿宋_GB2312" w:eastAsia="仿宋_GB2312" w:cs="仿宋_GB2312"/>
          <w:sz w:val="24"/>
          <w:szCs w:val="24"/>
        </w:rPr>
      </w:pPr>
      <w:bookmarkStart w:id="10" w:name="OLE_LINK8"/>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（盖单位</w:t>
      </w:r>
      <w:r>
        <w:rPr>
          <w:rFonts w:hint="eastAsia" w:ascii="仿宋_GB2312" w:hAnsi="仿宋_GB2312" w:eastAsia="仿宋_GB2312" w:cs="仿宋_GB2312"/>
          <w:sz w:val="24"/>
          <w:szCs w:val="24"/>
          <w:lang w:eastAsia="zh-CN"/>
        </w:rPr>
        <w:t>公</w:t>
      </w:r>
      <w:r>
        <w:rPr>
          <w:rFonts w:hint="eastAsia" w:ascii="仿宋_GB2312" w:hAnsi="仿宋_GB2312" w:eastAsia="仿宋_GB2312" w:cs="仿宋_GB2312"/>
          <w:sz w:val="24"/>
          <w:szCs w:val="24"/>
        </w:rPr>
        <w:t>章）</w:t>
      </w:r>
    </w:p>
    <w:p>
      <w:pPr>
        <w:widowControl/>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法定代表人或其委托代理人</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snapToGrid w:val="0"/>
        <w:spacing w:line="360" w:lineRule="auto"/>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bookmarkEnd w:id="10"/>
    <w:p>
      <w:pPr>
        <w:pStyle w:val="8"/>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33987"/>
    <w:multiLevelType w:val="singleLevel"/>
    <w:tmpl w:val="5D133987"/>
    <w:lvl w:ilvl="0" w:tentative="0">
      <w:start w:val="1"/>
      <w:numFmt w:val="decimal"/>
      <w:suff w:val="space"/>
      <w:lvlText w:val="%1."/>
      <w:lvlJc w:val="left"/>
    </w:lvl>
  </w:abstractNum>
  <w:abstractNum w:abstractNumId="1">
    <w:nsid w:val="62B12895"/>
    <w:multiLevelType w:val="singleLevel"/>
    <w:tmpl w:val="62B1289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jEyNmI2M2VlODMyZWZlMzFhOWEzYmY0YTNiZWEifQ=="/>
  </w:docVars>
  <w:rsids>
    <w:rsidRoot w:val="15DF504A"/>
    <w:rsid w:val="02531003"/>
    <w:rsid w:val="02602777"/>
    <w:rsid w:val="02800BC8"/>
    <w:rsid w:val="02FA7EEB"/>
    <w:rsid w:val="04807241"/>
    <w:rsid w:val="05604538"/>
    <w:rsid w:val="05965135"/>
    <w:rsid w:val="077C2D93"/>
    <w:rsid w:val="0A4C3311"/>
    <w:rsid w:val="0DEA0E63"/>
    <w:rsid w:val="0E5D6740"/>
    <w:rsid w:val="0F580979"/>
    <w:rsid w:val="111A4481"/>
    <w:rsid w:val="12F422EA"/>
    <w:rsid w:val="153D46A3"/>
    <w:rsid w:val="15DF504A"/>
    <w:rsid w:val="1A0F7BE0"/>
    <w:rsid w:val="1C1F10C3"/>
    <w:rsid w:val="1C6449AB"/>
    <w:rsid w:val="1CBB5978"/>
    <w:rsid w:val="1CFB7298"/>
    <w:rsid w:val="1D986635"/>
    <w:rsid w:val="22FA0AA4"/>
    <w:rsid w:val="252834D7"/>
    <w:rsid w:val="27AC59D6"/>
    <w:rsid w:val="28020AF0"/>
    <w:rsid w:val="29CD74B5"/>
    <w:rsid w:val="2BEB3C1D"/>
    <w:rsid w:val="2C2476D3"/>
    <w:rsid w:val="2E1348A7"/>
    <w:rsid w:val="303F0F53"/>
    <w:rsid w:val="32DB47FF"/>
    <w:rsid w:val="34257C99"/>
    <w:rsid w:val="36DF7C46"/>
    <w:rsid w:val="3B3F4030"/>
    <w:rsid w:val="3BC304E2"/>
    <w:rsid w:val="3C5A4946"/>
    <w:rsid w:val="3E736356"/>
    <w:rsid w:val="3F557BCC"/>
    <w:rsid w:val="3F9D5840"/>
    <w:rsid w:val="3FC23F6C"/>
    <w:rsid w:val="3FF366D5"/>
    <w:rsid w:val="4045089D"/>
    <w:rsid w:val="406212F8"/>
    <w:rsid w:val="408238AE"/>
    <w:rsid w:val="424F6006"/>
    <w:rsid w:val="480B6C99"/>
    <w:rsid w:val="48267AC5"/>
    <w:rsid w:val="4ACA7F95"/>
    <w:rsid w:val="4B434DA7"/>
    <w:rsid w:val="4B785CE8"/>
    <w:rsid w:val="4B801311"/>
    <w:rsid w:val="4D635A48"/>
    <w:rsid w:val="4DB72290"/>
    <w:rsid w:val="4DE411E5"/>
    <w:rsid w:val="4EE20E5B"/>
    <w:rsid w:val="4F2C2F93"/>
    <w:rsid w:val="516F13BD"/>
    <w:rsid w:val="52512A9C"/>
    <w:rsid w:val="53192EF6"/>
    <w:rsid w:val="53B41B60"/>
    <w:rsid w:val="53BA2E6A"/>
    <w:rsid w:val="54067363"/>
    <w:rsid w:val="540768C7"/>
    <w:rsid w:val="543D59C1"/>
    <w:rsid w:val="57AB0E67"/>
    <w:rsid w:val="58480C90"/>
    <w:rsid w:val="589B4EA0"/>
    <w:rsid w:val="59F5307C"/>
    <w:rsid w:val="5AFC259D"/>
    <w:rsid w:val="5DCB798D"/>
    <w:rsid w:val="61327432"/>
    <w:rsid w:val="63A20927"/>
    <w:rsid w:val="63A62063"/>
    <w:rsid w:val="6728328C"/>
    <w:rsid w:val="6C1626E0"/>
    <w:rsid w:val="6CCA2011"/>
    <w:rsid w:val="6DB15030"/>
    <w:rsid w:val="6EAC4723"/>
    <w:rsid w:val="6FAD57CB"/>
    <w:rsid w:val="6FBD14C1"/>
    <w:rsid w:val="70C05DA2"/>
    <w:rsid w:val="727D7FDA"/>
    <w:rsid w:val="72F778DF"/>
    <w:rsid w:val="73B40A19"/>
    <w:rsid w:val="763F1851"/>
    <w:rsid w:val="76E81026"/>
    <w:rsid w:val="7B4D4CA9"/>
    <w:rsid w:val="7CEB288B"/>
    <w:rsid w:val="7F41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表格文字2"/>
    <w:basedOn w:val="1"/>
    <w:qFormat/>
    <w:uiPriority w:val="0"/>
    <w:pPr>
      <w:jc w:val="left"/>
    </w:pPr>
    <w:rPr>
      <w:bCs/>
      <w:spacing w:val="10"/>
      <w:kern w:val="0"/>
    </w:rPr>
  </w:style>
  <w:style w:type="character" w:customStyle="1" w:styleId="9">
    <w:name w:val="font61"/>
    <w:basedOn w:val="7"/>
    <w:qFormat/>
    <w:uiPriority w:val="0"/>
    <w:rPr>
      <w:rFonts w:hint="eastAsia" w:ascii="宋体" w:hAnsi="宋体" w:eastAsia="宋体" w:cs="宋体"/>
      <w:color w:val="FF0000"/>
      <w:sz w:val="22"/>
      <w:szCs w:val="22"/>
      <w:u w:val="none"/>
    </w:rPr>
  </w:style>
  <w:style w:type="paragraph" w:customStyle="1" w:styleId="10">
    <w:name w:val=" Char"/>
    <w:basedOn w:val="1"/>
    <w:qFormat/>
    <w:uiPriority w:val="0"/>
  </w:style>
  <w:style w:type="character" w:customStyle="1" w:styleId="11">
    <w:name w:val="15"/>
    <w:basedOn w:val="7"/>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cp:lastPrinted>2024-02-21T07:42:00Z</cp:lastPrinted>
  <dcterms:modified xsi:type="dcterms:W3CDTF">2024-05-07T05:56:27Z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21186A5B8932486E9F9C3FDE247C0568</vt:lpwstr>
  </property>
</Properties>
</file>